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</w:pPr>
      <w:bookmarkStart w:id="0" w:name="_GoBack"/>
      <w:bookmarkEnd w:id="0"/>
      <w:r>
        <w:t>南昌经开区人民医院手术麻醉信息系统升级招标参数</w:t>
      </w:r>
    </w:p>
    <w:p>
      <w:pPr>
        <w:pStyle w:val="2"/>
        <w:widowControl/>
        <w:numPr>
          <w:ilvl w:val="0"/>
          <w:numId w:val="1"/>
        </w:numPr>
        <w:rPr>
          <w:rFonts w:ascii="黑体" w:hAnsi="黑体" w:cs="黑体"/>
        </w:rPr>
      </w:pPr>
      <w:r>
        <w:t>总则</w:t>
      </w:r>
    </w:p>
    <w:p>
      <w:pPr>
        <w:pStyle w:val="11"/>
        <w:widowControl/>
        <w:numPr>
          <w:ilvl w:val="0"/>
          <w:numId w:val="2"/>
        </w:numPr>
        <w:ind w:firstLineChars="0"/>
        <w:rPr>
          <w:color w:val="3370FF"/>
        </w:rPr>
      </w:pPr>
      <w:r>
        <w:t>本招标参数依据中华人民共和国卫生行业标准 WS 329-2024《麻醉记录单标准》（2025 年 8 月 1 日实施）及医院现有手术麻醉信息系统基础制定，用于系统升级采购，确保升级后系统完全符合新版麻醉记录单规范要求，同时兼容医院现有医疗业务流程与数据体系。</w:t>
      </w:r>
    </w:p>
    <w:p>
      <w:pPr>
        <w:pStyle w:val="11"/>
        <w:widowControl/>
        <w:numPr>
          <w:ilvl w:val="0"/>
          <w:numId w:val="2"/>
        </w:numPr>
        <w:ind w:firstLineChars="0"/>
        <w:rPr>
          <w:color w:val="3370FF"/>
        </w:rPr>
      </w:pPr>
      <w:r>
        <w:t>系统需具备良好的扩展性、稳定性与安全性，支持与医院现有 HIS、EMR、LIS 系统及各类床旁监护设备无缝对接，实现数据实时交互与共享，保障麻醉记录全流程信息化管理。</w:t>
      </w:r>
    </w:p>
    <w:p>
      <w:pPr>
        <w:pStyle w:val="2"/>
        <w:widowControl/>
        <w:numPr>
          <w:ilvl w:val="0"/>
          <w:numId w:val="1"/>
        </w:numPr>
        <w:rPr>
          <w:rFonts w:ascii="黑体" w:hAnsi="黑体" w:cs="黑体"/>
        </w:rPr>
      </w:pPr>
      <w:r>
        <w:t>系统升级核心功能要求</w:t>
      </w:r>
    </w:p>
    <w:p>
      <w:pPr>
        <w:pStyle w:val="3"/>
        <w:widowControl/>
        <w:numPr>
          <w:ilvl w:val="0"/>
          <w:numId w:val="3"/>
        </w:numPr>
        <w:rPr>
          <w:rFonts w:ascii="黑体" w:hAnsi="黑体" w:cs="黑体"/>
        </w:rPr>
      </w:pPr>
      <w:r>
        <w:t>基础信息模块升级（适配 WS 329-2024 6.2 患者一般信息）</w:t>
      </w:r>
    </w:p>
    <w:p>
      <w:pPr>
        <w:pStyle w:val="4"/>
        <w:widowControl/>
      </w:pPr>
      <w:r>
        <w:t>1.患者信息完善</w:t>
      </w:r>
    </w:p>
    <w:p>
      <w:pPr>
        <w:pStyle w:val="11"/>
        <w:widowControl/>
        <w:ind w:firstLine="480"/>
      </w:pPr>
      <w:r>
        <w:t>支持自动从 HIS、EMR 系统提取患者姓名、性别、年龄（新生儿精确到天，婴儿精确到月，幼儿及以上按规范表述）、身高（无法测量时记录身长，单位 cm）、体重（无法测量时注明原因，单位 kg）等基础信息，填充至麻醉记录单对应字段，且支持有权限用户手动修正，修正痕迹实时留存。</w:t>
      </w:r>
    </w:p>
    <w:p>
      <w:pPr>
        <w:pStyle w:val="11"/>
        <w:widowControl/>
        <w:ind w:firstLine="480"/>
      </w:pPr>
      <w:r>
        <w:t>新增身体质量指数（BMI）自动计算功能：系统根据提取的身高（单位 m）、体重（单位 kg），按公式 “BMI = 体重 ÷ 身高 ²” 自动计算并展示，计算结果需精准无误，同时支持手动录入 BMI 值（需注明录入原因）。</w:t>
      </w:r>
    </w:p>
    <w:p>
      <w:pPr>
        <w:pStyle w:val="4"/>
        <w:widowControl/>
      </w:pPr>
      <w:r>
        <w:rPr>
          <w:rFonts w:hint="eastAsia"/>
        </w:rPr>
        <w:t>2</w:t>
      </w:r>
      <w:r>
        <w:t>.病历与时间管理</w:t>
      </w:r>
    </w:p>
    <w:p>
      <w:pPr>
        <w:pStyle w:val="11"/>
        <w:widowControl/>
        <w:numPr>
          <w:ilvl w:val="0"/>
          <w:numId w:val="4"/>
        </w:numPr>
        <w:ind w:firstLineChars="0"/>
        <w:rPr>
          <w:rFonts w:ascii="宋体" w:hAnsi="宋体" w:cs="宋体"/>
          <w:color w:val="3370FF"/>
        </w:rPr>
      </w:pPr>
      <w:r>
        <w:t>确保麻醉记录单中病历号与病历首页一致，日期时间采用阿拉伯数字书写，遵循公元纪年与 24h 制，精确到时、分，支持页码自动生成（含 “第 X 页 / 共 X 页” 标识，多次麻醉时每次独立编号）。</w:t>
      </w:r>
    </w:p>
    <w:p>
      <w:pPr>
        <w:pStyle w:val="11"/>
        <w:widowControl/>
        <w:numPr>
          <w:ilvl w:val="0"/>
          <w:numId w:val="4"/>
        </w:numPr>
        <w:ind w:firstLineChars="0"/>
        <w:rPr>
          <w:rFonts w:ascii="宋体" w:hAnsi="宋体" w:cs="宋体"/>
          <w:color w:val="3370FF"/>
        </w:rPr>
      </w:pPr>
      <w:r>
        <w:t>新增 “麻醉开始时间”“麻醉结束时间” 明确记录字段：麻醉开始时间定义为 “患者入室执行基本生命体征监测和 / 或治疗医嘱” 时间，麻醉结束时间定义为 “患者达到出室标准和 / 或麻醉医师移交患者” 时间，系统支持手动录入或根据关键操作（如开始监测、移交确认）自动标记时间。</w:t>
      </w:r>
    </w:p>
    <w:p>
      <w:pPr>
        <w:pStyle w:val="3"/>
        <w:widowControl/>
        <w:numPr>
          <w:ilvl w:val="0"/>
          <w:numId w:val="3"/>
        </w:numPr>
        <w:rPr>
          <w:rFonts w:ascii="黑体" w:hAnsi="黑体" w:cs="黑体"/>
        </w:rPr>
      </w:pPr>
      <w:r>
        <w:t>术前情况模块升级（适配 WS 329-2024 6.3 术前情况）</w:t>
      </w:r>
    </w:p>
    <w:p>
      <w:pPr>
        <w:pStyle w:val="4"/>
        <w:widowControl/>
      </w:pPr>
      <w:r>
        <w:t>1.ASA 分级优化</w:t>
      </w:r>
    </w:p>
    <w:p>
      <w:pPr>
        <w:pStyle w:val="11"/>
        <w:widowControl/>
        <w:numPr>
          <w:ilvl w:val="0"/>
          <w:numId w:val="5"/>
        </w:numPr>
        <w:ind w:firstLineChars="0"/>
        <w:rPr>
          <w:color w:val="3370FF"/>
        </w:rPr>
      </w:pPr>
      <w:r>
        <w:t>支持 ASA 分级（美国麻醉医师协会术前患者体格情况分级）按 WS 329-2024 附录 A 标准录入，分级选项需区分成人、小儿、产妇三类人群特殊情况（如成人 ASA II 含 “肥胖 30&lt;BMI&lt;40”“控制良好的 DM/HTN”，产妇 ASA II 含 “正常妊娠”“控制良好的妊娠期高血压” 等），支持单选或多选对应分级特征，系统自动匹配并展示完整分级定义。</w:t>
      </w:r>
    </w:p>
    <w:p>
      <w:pPr>
        <w:pStyle w:val="11"/>
        <w:widowControl/>
        <w:numPr>
          <w:ilvl w:val="0"/>
          <w:numId w:val="5"/>
        </w:numPr>
        <w:ind w:firstLineChars="0"/>
        <w:rPr>
          <w:rFonts w:ascii="宋体" w:hAnsi="宋体" w:cs="宋体"/>
          <w:color w:val="3370FF"/>
        </w:rPr>
      </w:pPr>
      <w:r>
        <w:t>若为急诊手术，需在 ASA 分级后自动添加 “E” 标识（如 ASA IIE），急诊判定标准遵循 “延误治疗可能导致生命危险或身体受损风险增高”，支持手动勾选 “急诊 / 择期” 手术类型。</w:t>
      </w:r>
    </w:p>
    <w:p>
      <w:pPr>
        <w:pStyle w:val="4"/>
        <w:widowControl/>
      </w:pPr>
      <w:r>
        <w:rPr>
          <w:rFonts w:hint="eastAsia"/>
        </w:rPr>
        <w:t>2</w:t>
      </w:r>
      <w:r>
        <w:t>.术前禁食与用药记录</w:t>
      </w:r>
    </w:p>
    <w:p>
      <w:pPr>
        <w:pStyle w:val="11"/>
        <w:widowControl/>
        <w:ind w:firstLine="480"/>
      </w:pPr>
      <w:r>
        <w:t>新增术前禁食情况记录字段，支持勾选 “是 / 否”：满足禁食要求时选 “是”，不满足或无法获取禁食情况时选 “否”，且需支持录入禁食具体时长（如 “禁食 8h，禁饮 4h”）。</w:t>
      </w:r>
    </w:p>
    <w:p>
      <w:pPr>
        <w:pStyle w:val="11"/>
        <w:widowControl/>
        <w:ind w:firstLine="480"/>
      </w:pPr>
      <w:r>
        <w:t>术前麻醉用药记录需包含药品中文通用名（或通用外文缩写）、剂量（单位符合 GB 3100）、给药途径、日期时间（精确到分），无用药时明确记录 “无”，支持从 LIS 系统同步用药相关检验结果（如肝肾功能指标）辅助评估用药风险。</w:t>
      </w:r>
    </w:p>
    <w:p>
      <w:pPr>
        <w:pStyle w:val="4"/>
        <w:widowControl/>
      </w:pPr>
      <w:r>
        <w:rPr>
          <w:rFonts w:hint="eastAsia"/>
        </w:rPr>
        <w:t>3</w:t>
      </w:r>
      <w:r>
        <w:t>.术前特殊情况与诊断</w:t>
      </w:r>
    </w:p>
    <w:p>
      <w:pPr>
        <w:pStyle w:val="11"/>
        <w:widowControl/>
        <w:ind w:firstLine="480"/>
      </w:pPr>
      <w:r>
        <w:t>支持简明扼要录入与麻醉风险相关的术前异常情况，包括病史（如高血压病史 5 年）、体格检查异常（如气道评估困难）、辅助检查 / 检验异常（如心电图 ST-T 改变），支持上传相关报告附件（如 CT、超声报告）。</w:t>
      </w:r>
    </w:p>
    <w:p>
      <w:pPr>
        <w:pStyle w:val="11"/>
        <w:widowControl/>
        <w:ind w:firstLine="480"/>
      </w:pPr>
      <w:r>
        <w:t>确保术前诊断、拟施手术方式与手术同意书完全一致，系统自动提取手术同意书信息填充，若拟施手术与实际手术存在差异，需在术中情况模块单独标记并说明原因。</w:t>
      </w:r>
    </w:p>
    <w:p>
      <w:pPr>
        <w:pStyle w:val="3"/>
        <w:widowControl/>
        <w:numPr>
          <w:ilvl w:val="0"/>
          <w:numId w:val="3"/>
        </w:numPr>
        <w:rPr>
          <w:rFonts w:ascii="黑体" w:hAnsi="黑体" w:cs="黑体"/>
        </w:rPr>
      </w:pPr>
      <w:r>
        <w:t>术中情况模块升级（适配 WS 329-2024 6.4 术中情况）</w:t>
      </w:r>
    </w:p>
    <w:p>
      <w:pPr>
        <w:pStyle w:val="4"/>
        <w:widowControl/>
      </w:pPr>
      <w:r>
        <w:t>1.人员信息调整</w:t>
      </w:r>
    </w:p>
    <w:p>
      <w:pPr>
        <w:pStyle w:val="11"/>
        <w:widowControl/>
        <w:ind w:firstLine="480"/>
      </w:pPr>
      <w:r>
        <w:t>将原 “手术者” 字段更改为 “手术医师”，“麻醉者” 更改为 “麻醉医师”，新增 “麻醉护士” 字段：手术医师需按 “术者、第一助手、第二助手、第三助手” 顺序记录姓名；麻醉医师按 “主要麻醉医师、第一助手、第二助手” 顺序记录；麻醉护士记录参加麻醉的护士姓名，无麻醉护士时记录 “无”；同时保留 “巡回护士” 姓名记录字段，支持手动录入或从护士排班系统自动提取。</w:t>
      </w:r>
    </w:p>
    <w:p>
      <w:pPr>
        <w:pStyle w:val="11"/>
        <w:widowControl/>
        <w:ind w:firstLine="480"/>
      </w:pPr>
      <w:r>
        <w:rPr>
          <w:color w:val="3370FF"/>
        </w:rPr>
        <w:t>◦</w:t>
      </w:r>
      <w:r>
        <w:t>附页管理：当单页麻醉记录单无法满足需求时，支持新增附页，附页需完整填写手术方式、手术医师、麻醉方式、麻醉医师、麻醉护士、巡回护士信息，术前特殊情况、麻醉小结等重复信息仅需记录一次。</w:t>
      </w:r>
    </w:p>
    <w:p>
      <w:pPr>
        <w:pStyle w:val="4"/>
        <w:widowControl/>
      </w:pPr>
      <w:r>
        <w:rPr>
          <w:rFonts w:hint="eastAsia"/>
        </w:rPr>
        <w:t>2</w:t>
      </w:r>
      <w:r>
        <w:t>.术中用药与监测升级</w:t>
      </w:r>
    </w:p>
    <w:p>
      <w:pPr>
        <w:pStyle w:val="11"/>
        <w:widowControl/>
        <w:numPr>
          <w:ilvl w:val="0"/>
          <w:numId w:val="6"/>
        </w:numPr>
        <w:ind w:firstLineChars="0"/>
      </w:pPr>
      <w:r>
        <w:t>术中用药记录：详细记录药物名称（中文通用名或通用外文缩写）、剂量、给药途径，连续泵入药物或持续吸入气体需记录起止时间、剂量（含浓度），剂量调整时实时记录调整时间与新剂量；支持 “麻醉套餐” 定制化维护（含公共套餐、个人套餐、手术间专属套餐），套餐可包含用药、输液、输血、关键事件等内容，术中支持一键调用套餐并快速追加录入临时用药。</w:t>
      </w:r>
    </w:p>
    <w:p>
      <w:pPr>
        <w:pStyle w:val="4"/>
        <w:widowControl/>
      </w:pPr>
      <w:r>
        <w:rPr>
          <w:rFonts w:hint="eastAsia"/>
        </w:rPr>
        <w:t>3</w:t>
      </w:r>
      <w:r>
        <w:t>.麻醉小结与并发症记录</w:t>
      </w:r>
    </w:p>
    <w:p>
      <w:pPr>
        <w:pStyle w:val="11"/>
        <w:widowControl/>
        <w:numPr>
          <w:ilvl w:val="0"/>
          <w:numId w:val="7"/>
        </w:numPr>
        <w:ind w:firstLineChars="0"/>
        <w:rPr>
          <w:color w:val="3370FF"/>
        </w:rPr>
      </w:pPr>
      <w:r>
        <w:t>麻醉小结升级：需包含麻醉方法、麻醉技术、与麻醉相关操作的总结性描述，新增 “气管导管拔除” 等重要操作记录，具体包括拔管时间、拔管地点（如手术室、麻醉后恢复室），以及拔管前操作。</w:t>
      </w:r>
    </w:p>
    <w:p>
      <w:pPr>
        <w:pStyle w:val="11"/>
        <w:widowControl/>
        <w:numPr>
          <w:ilvl w:val="0"/>
          <w:numId w:val="7"/>
        </w:numPr>
        <w:ind w:firstLineChars="0"/>
        <w:rPr>
          <w:rFonts w:ascii="宋体" w:hAnsi="宋体" w:cs="宋体"/>
          <w:color w:val="3370FF"/>
        </w:rPr>
      </w:pPr>
      <w:r>
        <w:t>麻醉期间并发症、特殊事件记录：所有并发症（如过敏反应）、特殊事件（如设备故障）及处理措施需详细记录，抢救时需记录抢救时间、措施、参加抢救人员姓名及职称，抢救后 6h 内可补记并注明 “补记”；无特殊情况时明确记录 “无特殊情况”，补记内容需留存修改痕迹。</w:t>
      </w:r>
    </w:p>
    <w:p>
      <w:pPr>
        <w:pStyle w:val="3"/>
        <w:widowControl/>
        <w:numPr>
          <w:ilvl w:val="0"/>
          <w:numId w:val="3"/>
        </w:numPr>
        <w:rPr>
          <w:rFonts w:ascii="黑体" w:hAnsi="黑体" w:cs="黑体"/>
        </w:rPr>
      </w:pPr>
      <w:r>
        <w:t>离室信息模块升级（适配 WS 329-2024 6.5 离室信息）</w:t>
      </w:r>
    </w:p>
    <w:p>
      <w:pPr>
        <w:pStyle w:val="4"/>
        <w:widowControl/>
      </w:pPr>
      <w:r>
        <w:t>1.离室信息完善</w:t>
      </w:r>
    </w:p>
    <w:p>
      <w:pPr>
        <w:pStyle w:val="11"/>
        <w:widowControl/>
        <w:numPr>
          <w:ilvl w:val="0"/>
          <w:numId w:val="8"/>
        </w:numPr>
        <w:ind w:firstLineChars="0"/>
        <w:rPr>
          <w:rFonts w:ascii="宋体" w:hAnsi="宋体" w:cs="宋体"/>
          <w:color w:val="3370FF"/>
        </w:rPr>
      </w:pPr>
      <w:r>
        <w:t>出室前需逐项填写患者去向（如普通病房、ICU、麻醉后恢复室、门 / 急诊观察室、离院）、持续用药情况（如血管活性药物、镇静药物泵入）、携带设备（如气管插管、引流管）等信息，未包含在勾选项中的内容需在备注栏详细说明。</w:t>
      </w:r>
    </w:p>
    <w:p>
      <w:pPr>
        <w:pStyle w:val="11"/>
        <w:widowControl/>
        <w:numPr>
          <w:ilvl w:val="0"/>
          <w:numId w:val="8"/>
        </w:numPr>
        <w:ind w:firstLineChars="0"/>
        <w:rPr>
          <w:color w:val="3370FF"/>
        </w:rPr>
      </w:pPr>
      <w:r>
        <w:t>新增出室前麻醉后恢复评分（Modified Aldrete score）记录功能：支持按 WS 329-2024 附录 B 标准录入评分项目（如活动能力、呼吸、循环、意识、氧饱和度），系统自动计算总分，评分结果需同步至 EMR 系统，供临床科室查阅。</w:t>
      </w:r>
    </w:p>
    <w:p>
      <w:pPr>
        <w:pStyle w:val="3"/>
        <w:widowControl/>
        <w:numPr>
          <w:ilvl w:val="0"/>
          <w:numId w:val="3"/>
        </w:numPr>
        <w:rPr>
          <w:rFonts w:ascii="黑体" w:hAnsi="黑体" w:cs="黑体"/>
        </w:rPr>
      </w:pPr>
      <w:r>
        <w:t>麻醉记录单格式与书写规范升级（适配 WS 329-2024 4、5 章）</w:t>
      </w:r>
    </w:p>
    <w:p>
      <w:pPr>
        <w:pStyle w:val="4"/>
        <w:widowControl/>
      </w:pPr>
      <w:r>
        <w:t>1.用纸与字迹要求</w:t>
      </w:r>
    </w:p>
    <w:p>
      <w:pPr>
        <w:pStyle w:val="11"/>
        <w:widowControl/>
        <w:ind w:firstLine="480"/>
      </w:pPr>
      <w:r>
        <w:t>打印的麻醉记录单纸张需符合 DA/T 11 中一般耐久纸技术要求，字迹材料（墨水、油墨）符合 DA/T 16 耐久性要求；系统支持统一纸张规格、字体、字号及排版格式，打印字迹清晰易认，满足病历保存期限（至少 30 年）与复印要求。</w:t>
      </w:r>
    </w:p>
    <w:p>
      <w:pPr>
        <w:pStyle w:val="4"/>
        <w:widowControl/>
      </w:pPr>
      <w:r>
        <w:rPr>
          <w:rFonts w:hint="eastAsia"/>
        </w:rPr>
        <w:t>2</w:t>
      </w:r>
      <w:r>
        <w:t>.书写与修改规范</w:t>
      </w:r>
    </w:p>
    <w:p>
      <w:pPr>
        <w:pStyle w:val="11"/>
        <w:widowControl/>
        <w:numPr>
          <w:ilvl w:val="0"/>
          <w:numId w:val="9"/>
        </w:numPr>
        <w:ind w:firstLineChars="0"/>
        <w:rPr>
          <w:rFonts w:ascii="宋体" w:hAnsi="宋体" w:cs="宋体"/>
          <w:color w:val="3370FF"/>
        </w:rPr>
      </w:pPr>
      <w:r>
        <w:t>麻醉记录需使用中文简体，通用外文缩写可使用，无正式中文译名的症状、体征、疾病名称可使用外文，医学术语规范，表述准确；书写错误时需用双线划改，保留原记录可辨，修改人签名并注明时间，禁止刮、粘、涂等掩盖字迹的操作。</w:t>
      </w:r>
    </w:p>
    <w:p>
      <w:pPr>
        <w:pStyle w:val="11"/>
        <w:widowControl/>
        <w:numPr>
          <w:ilvl w:val="0"/>
          <w:numId w:val="9"/>
        </w:numPr>
        <w:ind w:firstLineChars="0"/>
        <w:rPr>
          <w:rFonts w:ascii="宋体" w:hAnsi="宋体" w:cs="宋体"/>
          <w:color w:val="3370FF"/>
        </w:rPr>
      </w:pPr>
      <w:r>
        <w:t>打印的麻醉记录单需由相应医务人员手写签名，已完成签名的记录单不得修改；实习、试用期、进修医务人员书写的记录单，需经本院注册医务人员审阅、修改并签名，系统支持签名痕迹电子化留存（若医院具备电子签名资质）。</w:t>
      </w:r>
    </w:p>
    <w:p>
      <w:pPr>
        <w:pStyle w:val="4"/>
        <w:widowControl/>
      </w:pPr>
      <w:r>
        <w:rPr>
          <w:rFonts w:hint="eastAsia"/>
        </w:rPr>
        <w:t>3</w:t>
      </w:r>
      <w:r>
        <w:t>.电子病历适配</w:t>
      </w:r>
    </w:p>
    <w:p>
      <w:pPr>
        <w:pStyle w:val="11"/>
        <w:widowControl/>
        <w:ind w:firstLine="480"/>
      </w:pPr>
      <w:r>
        <w:t>电子病历中麻醉记录部分内容需完全符合本标准第 6 章要求，支持麻醉记录单上传至电子病历系统，临床科室可通过浏览器直接访问预览，系统保障数据传输过程中的安全性与完整性，防止数据篡改或丢失。</w:t>
      </w:r>
    </w:p>
    <w:p>
      <w:pPr>
        <w:pStyle w:val="2"/>
        <w:widowControl/>
        <w:numPr>
          <w:ilvl w:val="0"/>
          <w:numId w:val="1"/>
        </w:numPr>
        <w:rPr>
          <w:rFonts w:ascii="黑体" w:hAnsi="黑体" w:cs="黑体"/>
        </w:rPr>
      </w:pPr>
      <w:r>
        <w:t>系统性能要求</w:t>
      </w:r>
    </w:p>
    <w:p>
      <w:pPr>
        <w:pStyle w:val="11"/>
        <w:widowControl/>
        <w:ind w:firstLine="480"/>
      </w:pPr>
      <w:r>
        <w:rPr>
          <w:color w:val="3370FF"/>
        </w:rPr>
        <w:t>1.</w:t>
      </w:r>
      <w:r>
        <w:rPr>
          <w:b/>
        </w:rPr>
        <w:t>稳定性</w:t>
      </w:r>
      <w:r>
        <w:t>：系统连续运行无故障时间≥99.9%，麻醉记录数据实时保存，防止意外断电或系统崩溃导致数据丢失，支持断点续录功能（恢复运行后可继续完成未记录内容）。</w:t>
      </w:r>
    </w:p>
    <w:p>
      <w:pPr>
        <w:pStyle w:val="11"/>
        <w:widowControl/>
        <w:ind w:firstLine="480"/>
      </w:pPr>
      <w:r>
        <w:rPr>
          <w:color w:val="3370FF"/>
        </w:rPr>
        <w:t>2.</w:t>
      </w:r>
      <w:r>
        <w:rPr>
          <w:b/>
        </w:rPr>
        <w:t>响应速度</w:t>
      </w:r>
      <w:r>
        <w:t>：系统界面加载时间≤3 秒，数据查询（如手术排班、麻醉记录）响应时间≤2 秒，设备数据采集与展示延迟≤10 秒，确保术中监测数据实时同步。</w:t>
      </w:r>
    </w:p>
    <w:p>
      <w:pPr>
        <w:pStyle w:val="11"/>
        <w:widowControl/>
        <w:ind w:firstLine="480"/>
      </w:pPr>
      <w:r>
        <w:rPr>
          <w:color w:val="3370FF"/>
        </w:rPr>
        <w:t>3.</w:t>
      </w:r>
      <w:r>
        <w:rPr>
          <w:b/>
        </w:rPr>
        <w:t>兼容性</w:t>
      </w:r>
      <w:r>
        <w:t>：支持 Windows 10 及以上操作系统；支持与医院现有 HIS（医院信息系统）、EMR（电子病历系统）、LIS（检验信息系统）通过 HL7/Web Service / 视图等接口实现数据交互，接口协议需符合国家医疗数据交换标准。</w:t>
      </w:r>
    </w:p>
    <w:p>
      <w:pPr>
        <w:pStyle w:val="11"/>
        <w:widowControl/>
        <w:ind w:firstLine="480"/>
      </w:pPr>
      <w:r>
        <w:rPr>
          <w:color w:val="3370FF"/>
        </w:rPr>
        <w:t>4.</w:t>
      </w:r>
      <w:r>
        <w:rPr>
          <w:b/>
        </w:rPr>
        <w:t>安全性</w:t>
      </w:r>
      <w:r>
        <w:t>：具备完善的权限管理功能，按角色（如麻醉医师、护士、管理员）分配操作权限，不同权限用户仅能访问或修改对应范围的信息；系统日志需记录所有操作（登录、数据录入、修改、删除等），日志保存期限≥1 年，支持审计追踪；数据传输采用加密协议（如 HTTPS），存储采用加密方式（如数据库加密），保障患者隐私与数据安全。</w:t>
      </w:r>
    </w:p>
    <w:p>
      <w:pPr>
        <w:pStyle w:val="2"/>
        <w:widowControl/>
        <w:numPr>
          <w:ilvl w:val="0"/>
          <w:numId w:val="1"/>
        </w:numPr>
        <w:rPr>
          <w:rFonts w:ascii="黑体" w:hAnsi="黑体" w:cs="黑体"/>
        </w:rPr>
      </w:pPr>
      <w:r>
        <w:t>服务要求</w:t>
      </w:r>
    </w:p>
    <w:p>
      <w:pPr>
        <w:pStyle w:val="11"/>
        <w:widowControl/>
        <w:numPr>
          <w:ilvl w:val="0"/>
          <w:numId w:val="10"/>
        </w:numPr>
        <w:ind w:firstLineChars="0"/>
        <w:rPr>
          <w:color w:val="3370FF"/>
        </w:rPr>
      </w:pPr>
      <w:r>
        <w:rPr>
          <w:b/>
        </w:rPr>
        <w:t>安装与调试</w:t>
      </w:r>
      <w:r>
        <w:t>：投标方需在合同签订后 30 个工作日内完成系统安装、调试及与医院现有系统的对接，确保系统正常运行；安装调试期间需对医院相关操作人员（麻醉医师、护士、信息科人员）进行现场培训，培训内容包括系统功能使用、数据录入规范、常见问题处理等，直至操作人员熟练掌握。</w:t>
      </w:r>
    </w:p>
    <w:p>
      <w:pPr>
        <w:pStyle w:val="11"/>
        <w:widowControl/>
        <w:numPr>
          <w:ilvl w:val="0"/>
          <w:numId w:val="10"/>
        </w:numPr>
        <w:ind w:firstLineChars="0"/>
      </w:pPr>
      <w:r>
        <w:rPr>
          <w:b/>
        </w:rPr>
        <w:t>技术支持</w:t>
      </w:r>
      <w:r>
        <w:t>：提供 7×24 小时技术支持热线、在线客服等服务渠道，解答用户使用过程中的疑问；建立用户反馈机制，对用户提出的功能优化建议进行评估，合理建议需在 3 个月内纳入系统升级计划。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04998"/>
    <w:multiLevelType w:val="singleLevel"/>
    <w:tmpl w:val="B210499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00186EB"/>
    <w:multiLevelType w:val="singleLevel"/>
    <w:tmpl w:val="300186EB"/>
    <w:lvl w:ilvl="0" w:tentative="0">
      <w:start w:val="0"/>
      <w:numFmt w:val="decimal"/>
      <w:suff w:val="space"/>
      <w:lvlText w:val=""/>
      <w:lvlJc w:val="left"/>
      <w:pPr>
        <w:ind w:left="0" w:firstLine="480"/>
      </w:pPr>
      <w:rPr>
        <w:rFonts w:hint="default"/>
      </w:rPr>
    </w:lvl>
  </w:abstractNum>
  <w:abstractNum w:abstractNumId="2">
    <w:nsid w:val="3A657CE4"/>
    <w:multiLevelType w:val="singleLevel"/>
    <w:tmpl w:val="3A657CE4"/>
    <w:lvl w:ilvl="0" w:tentative="0">
      <w:start w:val="0"/>
      <w:numFmt w:val="decimal"/>
      <w:suff w:val="space"/>
      <w:lvlText w:val=""/>
      <w:lvlJc w:val="left"/>
      <w:pPr>
        <w:ind w:left="0" w:firstLine="480"/>
      </w:pPr>
      <w:rPr>
        <w:rFonts w:hint="default"/>
      </w:rPr>
    </w:lvl>
  </w:abstractNum>
  <w:abstractNum w:abstractNumId="3">
    <w:nsid w:val="3BBC9815"/>
    <w:multiLevelType w:val="singleLevel"/>
    <w:tmpl w:val="3BBC9815"/>
    <w:lvl w:ilvl="0" w:tentative="0">
      <w:start w:val="0"/>
      <w:numFmt w:val="decimal"/>
      <w:suff w:val="space"/>
      <w:lvlText w:val=""/>
      <w:lvlJc w:val="left"/>
      <w:pPr>
        <w:ind w:left="0" w:firstLine="480"/>
      </w:pPr>
      <w:rPr>
        <w:rFonts w:hint="default"/>
      </w:rPr>
    </w:lvl>
  </w:abstractNum>
  <w:abstractNum w:abstractNumId="4">
    <w:nsid w:val="53F3298C"/>
    <w:multiLevelType w:val="singleLevel"/>
    <w:tmpl w:val="53F3298C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5">
    <w:nsid w:val="6113212D"/>
    <w:multiLevelType w:val="singleLevel"/>
    <w:tmpl w:val="6113212D"/>
    <w:lvl w:ilvl="0" w:tentative="0">
      <w:start w:val="0"/>
      <w:numFmt w:val="decimal"/>
      <w:suff w:val="space"/>
      <w:lvlText w:val=""/>
      <w:lvlJc w:val="left"/>
      <w:pPr>
        <w:ind w:left="0" w:firstLine="480"/>
      </w:pPr>
      <w:rPr>
        <w:rFonts w:hint="default"/>
      </w:rPr>
    </w:lvl>
  </w:abstractNum>
  <w:abstractNum w:abstractNumId="6">
    <w:nsid w:val="61DE0CBD"/>
    <w:multiLevelType w:val="singleLevel"/>
    <w:tmpl w:val="61DE0CB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7">
    <w:nsid w:val="699A47D6"/>
    <w:multiLevelType w:val="singleLevel"/>
    <w:tmpl w:val="699A47D6"/>
    <w:lvl w:ilvl="0" w:tentative="0">
      <w:start w:val="0"/>
      <w:numFmt w:val="decimal"/>
      <w:suff w:val="space"/>
      <w:lvlText w:val=""/>
      <w:lvlJc w:val="left"/>
      <w:pPr>
        <w:ind w:left="0" w:firstLine="480"/>
      </w:pPr>
      <w:rPr>
        <w:rFonts w:hint="default"/>
      </w:rPr>
    </w:lvl>
  </w:abstractNum>
  <w:abstractNum w:abstractNumId="8">
    <w:nsid w:val="78865AD7"/>
    <w:multiLevelType w:val="singleLevel"/>
    <w:tmpl w:val="78865AD7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9">
    <w:nsid w:val="7EFA77A5"/>
    <w:multiLevelType w:val="singleLevel"/>
    <w:tmpl w:val="7EFA77A5"/>
    <w:lvl w:ilvl="0" w:tentative="0">
      <w:start w:val="0"/>
      <w:numFmt w:val="decimal"/>
      <w:suff w:val="space"/>
      <w:lvlText w:val=""/>
      <w:lvlJc w:val="left"/>
      <w:pPr>
        <w:ind w:left="0" w:firstLine="48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CF"/>
    <w:rsid w:val="00405FCB"/>
    <w:rsid w:val="005149CF"/>
    <w:rsid w:val="1B432E4C"/>
    <w:rsid w:val="2AA5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3">
    <w:name w:val="footnote text"/>
    <w:link w:val="20"/>
    <w:semiHidden/>
    <w:unhideWhenUsed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4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styleId="19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0">
    <w:name w:val="脚注文本 字符"/>
    <w:link w:val="13"/>
    <w:semiHidden/>
    <w:unhideWhenUsed/>
    <w:qFormat/>
    <w:uiPriority w:val="99"/>
    <w:rPr>
      <w:sz w:val="20"/>
      <w:szCs w:val="20"/>
    </w:rPr>
  </w:style>
  <w:style w:type="paragraph" w:customStyle="1" w:styleId="2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2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3222</Words>
  <Characters>3460</Characters>
  <Lines>26</Lines>
  <Paragraphs>7</Paragraphs>
  <TotalTime>25</TotalTime>
  <ScaleCrop>false</ScaleCrop>
  <LinksUpToDate>false</LinksUpToDate>
  <CharactersWithSpaces>3636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2025-11-03T02:19:00Z</dcterms:created>
  <dc:creator>Un-named</dc:creator>
  <cp:lastModifiedBy>全</cp:lastModifiedBy>
  <cp:lastPrinted>2025-11-03T01:14:00Z</cp:lastPrinted>
  <dcterms:modified xsi:type="dcterms:W3CDTF">2025-11-03T02:34:59Z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eyJoZGlkIjoiZThmNjAzMWJlZjFkMmQwODUwMTJkYzE2ODFiYmFmYTciLCJ1c2VySWQiOiI0NDcyNjAxNTYifQ==</vt:lpwstr>
  </property>
  <property fmtid="{D5CDD505-2E9C-101B-9397-08002B2CF9AE}" pid="3" name="KSOProductBuildVer">
    <vt:lpwstr>2052-12.1.0.16929</vt:lpwstr>
  </property>
  <property fmtid="{D5CDD505-2E9C-101B-9397-08002B2CF9AE}" pid="4" name="ICV">
    <vt:lpwstr>2A2B7E519F7C4609A9E43F7D08E2A665_13</vt:lpwstr>
  </property>
</Properties>
</file>